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480" w:lineRule="auto"/>
        <w:jc w:val="left"/>
        <w:rPr>
          <w:rFonts w:ascii="黑体" w:hAnsi="黑体" w:eastAsia="黑体"/>
          <w:spacing w:val="-18"/>
          <w:sz w:val="32"/>
          <w:szCs w:val="32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附件</w:t>
      </w:r>
      <w:r>
        <w:rPr>
          <w:rFonts w:ascii="黑体" w:hAnsi="黑体" w:eastAsia="黑体" w:cs="黑体"/>
          <w:spacing w:val="-18"/>
          <w:sz w:val="32"/>
          <w:szCs w:val="32"/>
        </w:rPr>
        <w:t>5</w:t>
      </w:r>
    </w:p>
    <w:p>
      <w:pPr>
        <w:spacing w:beforeLines="100" w:afterLines="100" w:line="700" w:lineRule="exact"/>
        <w:jc w:val="center"/>
        <w:rPr>
          <w:rFonts w:ascii="方正小标宋简体" w:hAnsi="黑体" w:eastAsia="方正小标宋简体"/>
          <w:b/>
          <w:bCs/>
          <w:sz w:val="52"/>
          <w:szCs w:val="52"/>
        </w:rPr>
      </w:pPr>
    </w:p>
    <w:p>
      <w:pPr>
        <w:spacing w:beforeLines="100" w:afterLines="100" w:line="700" w:lineRule="exact"/>
        <w:jc w:val="center"/>
        <w:rPr>
          <w:rFonts w:ascii="微软雅黑" w:hAnsi="微软雅黑" w:eastAsia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方正小标宋简体"/>
          <w:b/>
          <w:bCs/>
          <w:sz w:val="52"/>
          <w:szCs w:val="52"/>
        </w:rPr>
        <w:t>山东省国家重点监控企业</w:t>
      </w:r>
    </w:p>
    <w:p>
      <w:pPr>
        <w:spacing w:beforeLines="100" w:afterLines="100" w:line="700" w:lineRule="exact"/>
        <w:jc w:val="center"/>
        <w:rPr>
          <w:rFonts w:ascii="微软雅黑" w:hAnsi="微软雅黑" w:eastAsia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方正小标宋简体"/>
          <w:b/>
          <w:bCs/>
          <w:sz w:val="52"/>
          <w:szCs w:val="52"/>
        </w:rPr>
        <w:t>自行监测</w:t>
      </w:r>
      <w:r>
        <w:rPr>
          <w:rFonts w:hint="eastAsia" w:ascii="微软雅黑" w:hAnsi="微软雅黑" w:eastAsia="微软雅黑" w:cs="方正小标宋简体"/>
          <w:b/>
          <w:bCs/>
          <w:kern w:val="0"/>
          <w:sz w:val="52"/>
          <w:szCs w:val="52"/>
        </w:rPr>
        <w:t>年度报告</w:t>
      </w:r>
    </w:p>
    <w:p>
      <w:pPr>
        <w:tabs>
          <w:tab w:val="left" w:pos="2760"/>
        </w:tabs>
        <w:spacing w:beforeLines="100" w:line="480" w:lineRule="auto"/>
        <w:jc w:val="center"/>
        <w:rPr>
          <w:sz w:val="36"/>
          <w:szCs w:val="36"/>
          <w:u w:val="single"/>
        </w:rPr>
      </w:pPr>
    </w:p>
    <w:p>
      <w:pPr>
        <w:tabs>
          <w:tab w:val="left" w:pos="2760"/>
        </w:tabs>
        <w:spacing w:beforeLines="100" w:line="480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201</w:t>
      </w:r>
      <w:r>
        <w:rPr>
          <w:rFonts w:hint="eastAsia"/>
          <w:sz w:val="36"/>
          <w:szCs w:val="36"/>
          <w:u w:val="single"/>
          <w:lang w:val="en-US" w:eastAsia="zh-CN"/>
        </w:rPr>
        <w:t>8</w:t>
      </w:r>
      <w:r>
        <w:rPr>
          <w:rFonts w:hint="eastAsia" w:cs="宋体"/>
          <w:sz w:val="36"/>
          <w:szCs w:val="36"/>
          <w:u w:val="single"/>
        </w:rPr>
        <w:t>年</w:t>
      </w:r>
    </w:p>
    <w:p>
      <w:pPr>
        <w:tabs>
          <w:tab w:val="left" w:pos="2760"/>
        </w:tabs>
        <w:spacing w:line="360" w:lineRule="auto"/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spacing w:line="800" w:lineRule="exact"/>
        <w:jc w:val="center"/>
        <w:rPr>
          <w:sz w:val="30"/>
          <w:szCs w:val="30"/>
        </w:rPr>
      </w:pPr>
    </w:p>
    <w:p>
      <w:pPr>
        <w:spacing w:line="800" w:lineRule="exact"/>
        <w:jc w:val="center"/>
        <w:rPr>
          <w:sz w:val="30"/>
          <w:szCs w:val="30"/>
        </w:rPr>
      </w:pPr>
    </w:p>
    <w:p>
      <w:pPr>
        <w:spacing w:line="800" w:lineRule="exact"/>
        <w:ind w:left="2648" w:leftChars="571" w:hanging="1449" w:hangingChars="481"/>
        <w:rPr>
          <w:spacing w:val="-20"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企业名称：</w:t>
      </w:r>
      <w:r>
        <w:rPr>
          <w:sz w:val="30"/>
          <w:szCs w:val="30"/>
          <w:u w:val="single"/>
        </w:rPr>
        <w:t xml:space="preserve"> </w:t>
      </w:r>
      <w:r>
        <w:rPr>
          <w:rFonts w:hint="eastAsia" w:cs="宋体"/>
          <w:sz w:val="30"/>
          <w:szCs w:val="30"/>
          <w:u w:val="single"/>
        </w:rPr>
        <w:t>日照市凌云海糖业集团有限公司</w:t>
      </w:r>
      <w:r>
        <w:rPr>
          <w:sz w:val="30"/>
          <w:szCs w:val="30"/>
          <w:u w:val="single"/>
        </w:rPr>
        <w:t xml:space="preserve"> </w:t>
      </w:r>
    </w:p>
    <w:p>
      <w:pPr>
        <w:spacing w:line="800" w:lineRule="exact"/>
        <w:ind w:left="2648" w:leftChars="571" w:hanging="1449" w:hangingChars="481"/>
        <w:rPr>
          <w:spacing w:val="-20"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监测单位：</w:t>
      </w:r>
      <w:r>
        <w:rPr>
          <w:rFonts w:hint="eastAsia" w:cs="宋体"/>
          <w:sz w:val="30"/>
          <w:szCs w:val="30"/>
          <w:u w:val="single"/>
        </w:rPr>
        <w:t>日照市凌云海糖业集团有限公司</w:t>
      </w:r>
      <w:r>
        <w:rPr>
          <w:sz w:val="30"/>
          <w:szCs w:val="30"/>
          <w:u w:val="single"/>
        </w:rPr>
        <w:t xml:space="preserve">  </w:t>
      </w:r>
    </w:p>
    <w:p>
      <w:pPr>
        <w:spacing w:line="800" w:lineRule="exact"/>
        <w:ind w:left="2648" w:leftChars="571" w:hanging="1449" w:hangingChars="481"/>
        <w:rPr>
          <w:spacing w:val="-20"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监测时段：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 w:cs="宋体"/>
          <w:sz w:val="30"/>
          <w:szCs w:val="30"/>
          <w:u w:val="single"/>
        </w:rPr>
        <w:t>201</w:t>
      </w:r>
      <w:r>
        <w:rPr>
          <w:rFonts w:hint="eastAsia" w:cs="宋体"/>
          <w:sz w:val="30"/>
          <w:szCs w:val="30"/>
          <w:u w:val="single"/>
          <w:lang w:val="en-US" w:eastAsia="zh-CN"/>
        </w:rPr>
        <w:t>8</w:t>
      </w:r>
      <w:r>
        <w:rPr>
          <w:rFonts w:hint="eastAsia" w:cs="宋体"/>
          <w:sz w:val="30"/>
          <w:szCs w:val="30"/>
          <w:u w:val="single"/>
        </w:rPr>
        <w:t>.1.1-12.31</w:t>
      </w:r>
      <w:r>
        <w:rPr>
          <w:sz w:val="30"/>
          <w:szCs w:val="30"/>
          <w:u w:val="single"/>
        </w:rPr>
        <w:t xml:space="preserve">            </w:t>
      </w:r>
    </w:p>
    <w:p>
      <w:pPr>
        <w:spacing w:line="800" w:lineRule="exact"/>
        <w:ind w:left="2648" w:leftChars="571" w:right="210" w:hanging="1449" w:hangingChars="481"/>
        <w:rPr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</w:rPr>
        <w:t>报告日期：</w:t>
      </w:r>
      <w:r>
        <w:rPr>
          <w:b/>
          <w:bCs/>
          <w:sz w:val="30"/>
          <w:szCs w:val="30"/>
          <w:u w:val="single"/>
        </w:rPr>
        <w:t xml:space="preserve">  201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9</w:t>
      </w:r>
      <w:r>
        <w:rPr>
          <w:b/>
          <w:bCs/>
          <w:sz w:val="30"/>
          <w:szCs w:val="30"/>
          <w:u w:val="single"/>
        </w:rPr>
        <w:t xml:space="preserve">   </w:t>
      </w:r>
      <w:r>
        <w:rPr>
          <w:rFonts w:hint="eastAsia" w:cs="宋体"/>
          <w:sz w:val="30"/>
          <w:szCs w:val="30"/>
          <w:u w:val="single"/>
        </w:rPr>
        <w:t>年</w:t>
      </w:r>
      <w:r>
        <w:rPr>
          <w:sz w:val="30"/>
          <w:szCs w:val="30"/>
          <w:u w:val="single"/>
        </w:rPr>
        <w:t xml:space="preserve">  1   </w:t>
      </w:r>
      <w:r>
        <w:rPr>
          <w:rFonts w:hint="eastAsia" w:cs="宋体"/>
          <w:sz w:val="30"/>
          <w:szCs w:val="30"/>
          <w:u w:val="single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>29</w:t>
      </w:r>
      <w:r>
        <w:rPr>
          <w:sz w:val="30"/>
          <w:szCs w:val="30"/>
          <w:u w:val="single"/>
        </w:rPr>
        <w:t xml:space="preserve">   </w:t>
      </w:r>
      <w:r>
        <w:rPr>
          <w:rFonts w:hint="eastAsia" w:cs="宋体"/>
          <w:sz w:val="30"/>
          <w:szCs w:val="30"/>
          <w:u w:val="single"/>
        </w:rPr>
        <w:t>日</w:t>
      </w:r>
    </w:p>
    <w:p>
      <w:pPr>
        <w:spacing w:line="40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  <w:u w:val="single"/>
        </w:rPr>
      </w:pPr>
    </w:p>
    <w:p>
      <w:pPr>
        <w:widowControl/>
        <w:jc w:val="left"/>
        <w:rPr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480" w:lineRule="auto"/>
        <w:jc w:val="center"/>
        <w:outlineLvl w:val="0"/>
        <w:rPr>
          <w:rFonts w:ascii="黑体" w:hAnsi="黑体" w:eastAsia="黑体"/>
          <w:b/>
          <w:bCs/>
          <w:spacing w:val="5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50"/>
          <w:sz w:val="36"/>
          <w:szCs w:val="36"/>
          <w:u w:val="single"/>
        </w:rPr>
        <w:t>日照市凌云海糖业集团有限公司</w:t>
      </w:r>
      <w:r>
        <w:rPr>
          <w:rFonts w:hint="eastAsia" w:ascii="黑体" w:hAnsi="黑体" w:eastAsia="黑体" w:cs="黑体"/>
          <w:b/>
          <w:bCs/>
          <w:spacing w:val="50"/>
          <w:sz w:val="36"/>
          <w:szCs w:val="36"/>
        </w:rPr>
        <w:t>自行监测年度报告</w:t>
      </w:r>
    </w:p>
    <w:p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4"/>
        <w:tblW w:w="1444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20"/>
        <w:gridCol w:w="1480"/>
        <w:gridCol w:w="1140"/>
        <w:gridCol w:w="2151"/>
        <w:gridCol w:w="2834"/>
        <w:gridCol w:w="1419"/>
        <w:gridCol w:w="1133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287" w:type="dxa"/>
            <w:gridSpan w:val="2"/>
            <w:tcBorders>
              <w:top w:val="single" w:color="auto" w:sz="12" w:space="0"/>
              <w:bottom w:val="single" w:color="auto" w:sz="12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735" w:firstLineChars="3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监测项目</w:t>
            </w:r>
          </w:p>
          <w:p>
            <w:pPr>
              <w:spacing w:line="32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监测内容</w:t>
            </w:r>
          </w:p>
        </w:tc>
        <w:tc>
          <w:tcPr>
            <w:tcW w:w="14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监测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点位</w:t>
            </w:r>
          </w:p>
        </w:tc>
        <w:tc>
          <w:tcPr>
            <w:tcW w:w="114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全年生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产天数</w:t>
            </w:r>
          </w:p>
        </w:tc>
        <w:tc>
          <w:tcPr>
            <w:tcW w:w="21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right="-46" w:rightChars="-22"/>
              <w:jc w:val="center"/>
              <w:rPr>
                <w:rFonts w:asci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应当监测天数</w:t>
            </w:r>
          </w:p>
        </w:tc>
        <w:tc>
          <w:tcPr>
            <w:tcW w:w="28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right="-46" w:rightChars="-22"/>
              <w:jc w:val="center"/>
              <w:rPr>
                <w:rFonts w:asci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实际监测天数</w:t>
            </w:r>
          </w:p>
        </w:tc>
        <w:tc>
          <w:tcPr>
            <w:tcW w:w="141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left="-128" w:leftChars="-61" w:right="-99" w:rightChars="-47"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实际监</w:t>
            </w:r>
          </w:p>
          <w:p>
            <w:pPr>
              <w:spacing w:line="320" w:lineRule="exact"/>
              <w:ind w:left="-128" w:leftChars="-61" w:right="-99" w:rightChars="-47" w:firstLine="105" w:firstLineChars="50"/>
              <w:jc w:val="center"/>
              <w:rPr>
                <w:rFonts w:asci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测次数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28" w:leftChars="-61" w:right="-99" w:rightChars="-47"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达标</w:t>
            </w:r>
          </w:p>
          <w:p>
            <w:pPr>
              <w:spacing w:line="320" w:lineRule="exact"/>
              <w:ind w:right="-46" w:rightChars="-22"/>
              <w:jc w:val="center"/>
              <w:rPr>
                <w:rFonts w:asci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次数</w:t>
            </w:r>
          </w:p>
        </w:tc>
        <w:tc>
          <w:tcPr>
            <w:tcW w:w="200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超标</w:t>
            </w:r>
          </w:p>
          <w:p>
            <w:pPr>
              <w:spacing w:line="320" w:lineRule="exact"/>
              <w:ind w:right="-46" w:rightChars="-22"/>
              <w:jc w:val="center"/>
              <w:rPr>
                <w:rFonts w:asci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监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测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指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标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化学需氧量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834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自动监测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均达标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氨氮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834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Bod5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2834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总氮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2834" w:type="dxa"/>
          </w:tcPr>
          <w:p>
            <w:pPr>
              <w:spacing w:line="320" w:lineRule="exact"/>
              <w:jc w:val="center"/>
              <w:rPr>
                <w:rFonts w:hint="eastAsia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Ph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悬浮物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总磷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  <w:lang w:val="en-US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氟化物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挥发酚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石油类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硫化物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全盐量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废水总排放口</w:t>
            </w:r>
          </w:p>
        </w:tc>
        <w:tc>
          <w:tcPr>
            <w:tcW w:w="1140" w:type="dxa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2002" w:type="dxa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二氧化硫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烟气排放口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自动监测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均达标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氮氧化物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烟气排放口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自动监测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均达标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烟尘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烟气排放口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自动监测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均达标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烟气黑度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烟气排放口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4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4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4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4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颗粒物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烟气排放口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汞及其化合物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烟气排放口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非甲烷总烃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>烟气排放口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厂界噪声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厂界</w:t>
            </w:r>
          </w:p>
        </w:tc>
        <w:tc>
          <w:tcPr>
            <w:tcW w:w="114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365</w:t>
            </w:r>
          </w:p>
        </w:tc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32</w:t>
            </w:r>
          </w:p>
        </w:tc>
        <w:tc>
          <w:tcPr>
            <w:tcW w:w="200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监测方案的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调整变化情况</w:t>
            </w:r>
          </w:p>
        </w:tc>
        <w:tc>
          <w:tcPr>
            <w:tcW w:w="12159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2018年6月份增加BOD5和总氮指标。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全年废水、废气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污染物排放量</w:t>
            </w:r>
          </w:p>
        </w:tc>
        <w:tc>
          <w:tcPr>
            <w:tcW w:w="12159" w:type="dxa"/>
            <w:gridSpan w:val="7"/>
            <w:vAlign w:val="center"/>
          </w:tcPr>
          <w:p>
            <w:pPr>
              <w:spacing w:line="320" w:lineRule="exact"/>
            </w:pPr>
            <w:r>
              <w:rPr>
                <w:rFonts w:hint="eastAsia" w:ascii="宋体" w:hAnsi="宋体" w:cs="宋体"/>
              </w:rPr>
              <w:t>废水：化学需氧量</w:t>
            </w: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 w:cs="宋体"/>
              </w:rPr>
              <w:t>吨</w:t>
            </w:r>
            <w:r>
              <w:t xml:space="preserve">  </w:t>
            </w:r>
          </w:p>
          <w:p>
            <w:pPr>
              <w:spacing w:line="320" w:lineRule="exact"/>
              <w:rPr>
                <w:rFonts w:ascii="宋体" w:cs="宋体"/>
              </w:rPr>
            </w:pPr>
            <w:r>
              <w:rPr>
                <w:rFonts w:hint="eastAsia" w:cs="宋体"/>
              </w:rPr>
              <w:t>废气：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二氧化硫</w:t>
            </w:r>
            <w:r>
              <w:rPr>
                <w:rFonts w:hint="eastAsia"/>
                <w:lang w:val="en-US" w:eastAsia="zh-CN"/>
              </w:rPr>
              <w:t>13.4</w:t>
            </w:r>
            <w:r>
              <w:rPr>
                <w:rFonts w:hint="eastAsia" w:cs="宋体"/>
              </w:rPr>
              <w:t>吨</w:t>
            </w:r>
            <w:r>
              <w:t xml:space="preserve"> </w:t>
            </w:r>
            <w:r>
              <w:rPr>
                <w:rFonts w:hint="eastAsia" w:ascii="宋体" w:hAnsi="宋体" w:cs="宋体"/>
              </w:rPr>
              <w:t>氮氧化物</w:t>
            </w:r>
            <w:r>
              <w:rPr>
                <w:rFonts w:hint="eastAsia"/>
                <w:lang w:val="en-US" w:eastAsia="zh-CN"/>
              </w:rPr>
              <w:t>108</w:t>
            </w:r>
            <w:r>
              <w:rPr>
                <w:rFonts w:hint="eastAsia" w:cs="宋体"/>
              </w:rPr>
              <w:t>吨</w:t>
            </w:r>
            <w:r>
              <w:t xml:space="preserve">  </w:t>
            </w:r>
            <w:r>
              <w:rPr>
                <w:rFonts w:hint="eastAsia" w:cs="宋体"/>
              </w:rPr>
              <w:t>烟尘</w:t>
            </w:r>
            <w:r>
              <w:rPr>
                <w:rFonts w:hint="eastAsia"/>
                <w:lang w:val="en-US" w:eastAsia="zh-CN"/>
              </w:rPr>
              <w:t>10.1</w:t>
            </w:r>
            <w:r>
              <w:rPr>
                <w:rFonts w:hint="eastAsia" w:cs="宋体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固体废弃物的类型、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产生数量，处置方式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数量以及去向</w:t>
            </w:r>
          </w:p>
        </w:tc>
        <w:tc>
          <w:tcPr>
            <w:tcW w:w="12159" w:type="dxa"/>
            <w:gridSpan w:val="7"/>
            <w:vAlign w:val="center"/>
          </w:tcPr>
          <w:p>
            <w:pPr>
              <w:spacing w:line="32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煤灰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>18096</w:t>
            </w:r>
            <w:r>
              <w:rPr>
                <w:rFonts w:hint="eastAsia" w:ascii="宋体" w:hAnsi="宋体" w:cs="宋体"/>
              </w:rPr>
              <w:t>吨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外售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、炉渣16704吨，外售、</w:t>
            </w:r>
            <w:r>
              <w:rPr>
                <w:rFonts w:hint="eastAsia" w:ascii="宋体" w:hAnsi="宋体" w:cs="宋体"/>
              </w:rPr>
              <w:t>脱硫石膏</w:t>
            </w:r>
            <w:r>
              <w:rPr>
                <w:rFonts w:hint="eastAsia" w:ascii="宋体" w:hAnsi="宋体" w:cs="宋体"/>
                <w:lang w:val="en-US" w:eastAsia="zh-CN"/>
              </w:rPr>
              <w:t>3369.7</w:t>
            </w:r>
            <w:r>
              <w:rPr>
                <w:rFonts w:hint="eastAsia" w:ascii="宋体" w:hAnsi="宋体" w:cs="宋体"/>
              </w:rPr>
              <w:t>吨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外售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spacing w:line="32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按要求开展企业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周边环境质量影响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状况监测结果</w:t>
            </w:r>
          </w:p>
        </w:tc>
        <w:tc>
          <w:tcPr>
            <w:tcW w:w="12159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无</w:t>
            </w:r>
          </w:p>
        </w:tc>
      </w:tr>
    </w:tbl>
    <w:p>
      <w:pPr>
        <w:spacing w:line="360" w:lineRule="auto"/>
        <w:ind w:right="10" w:firstLine="8880" w:firstLineChars="3700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编制：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 w:cs="宋体"/>
          <w:sz w:val="24"/>
          <w:szCs w:val="24"/>
          <w:u w:val="single"/>
        </w:rPr>
        <w:t>尹</w:t>
      </w:r>
      <w:r>
        <w:rPr>
          <w:sz w:val="24"/>
          <w:szCs w:val="24"/>
          <w:u w:val="single"/>
        </w:rPr>
        <w:t xml:space="preserve">   </w:t>
      </w:r>
      <w:r>
        <w:rPr>
          <w:rFonts w:hint="eastAsia" w:cs="宋体"/>
          <w:sz w:val="24"/>
          <w:szCs w:val="24"/>
          <w:u w:val="single"/>
        </w:rPr>
        <w:t>伟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 w:cs="宋体"/>
          <w:sz w:val="24"/>
          <w:szCs w:val="24"/>
        </w:rPr>
        <w:t>；签发；</w:t>
      </w:r>
      <w:r>
        <w:rPr>
          <w:sz w:val="24"/>
          <w:szCs w:val="24"/>
          <w:u w:val="single"/>
        </w:rPr>
        <w:t xml:space="preserve">   </w:t>
      </w:r>
      <w:r>
        <w:rPr>
          <w:rFonts w:hint="eastAsia" w:cs="宋体"/>
          <w:sz w:val="24"/>
          <w:szCs w:val="24"/>
          <w:u w:val="single"/>
        </w:rPr>
        <w:t>吕银贵</w:t>
      </w:r>
      <w:r>
        <w:rPr>
          <w:sz w:val="24"/>
          <w:szCs w:val="24"/>
          <w:u w:val="single"/>
        </w:rPr>
        <w:t xml:space="preserve">   </w:t>
      </w:r>
    </w:p>
    <w:p>
      <w:pPr>
        <w:spacing w:line="360" w:lineRule="auto"/>
        <w:ind w:right="-687" w:rightChars="-327" w:firstLine="1080" w:firstLineChars="45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rFonts w:hint="eastAsia" w:cs="宋体"/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201</w:t>
      </w:r>
      <w:r>
        <w:rPr>
          <w:rFonts w:hint="eastAsia"/>
          <w:sz w:val="24"/>
          <w:szCs w:val="24"/>
          <w:u w:val="single"/>
          <w:lang w:val="en-US" w:eastAsia="zh-CN"/>
        </w:rPr>
        <w:t>9</w:t>
      </w:r>
      <w:r>
        <w:rPr>
          <w:sz w:val="24"/>
          <w:szCs w:val="24"/>
          <w:u w:val="single"/>
        </w:rPr>
        <w:t>.1.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29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 w:cs="宋体"/>
          <w:sz w:val="24"/>
          <w:szCs w:val="24"/>
        </w:rPr>
        <w:t>；日期：</w:t>
      </w:r>
      <w:r>
        <w:rPr>
          <w:sz w:val="24"/>
          <w:szCs w:val="24"/>
          <w:u w:val="single"/>
        </w:rPr>
        <w:t xml:space="preserve">  201</w:t>
      </w:r>
      <w:r>
        <w:rPr>
          <w:rFonts w:hint="eastAsia"/>
          <w:sz w:val="24"/>
          <w:szCs w:val="24"/>
          <w:u w:val="single"/>
          <w:lang w:val="en-US" w:eastAsia="zh-CN"/>
        </w:rPr>
        <w:t>9</w:t>
      </w:r>
      <w:r>
        <w:rPr>
          <w:sz w:val="24"/>
          <w:szCs w:val="24"/>
          <w:u w:val="single"/>
        </w:rPr>
        <w:t>.1.</w:t>
      </w:r>
      <w:r>
        <w:rPr>
          <w:rFonts w:hint="eastAsia"/>
          <w:sz w:val="24"/>
          <w:szCs w:val="24"/>
          <w:u w:val="single"/>
          <w:lang w:val="en-US" w:eastAsia="zh-CN"/>
        </w:rPr>
        <w:t>29</w:t>
      </w:r>
      <w:r>
        <w:rPr>
          <w:sz w:val="24"/>
          <w:szCs w:val="24"/>
          <w:u w:val="single"/>
        </w:rPr>
        <w:t xml:space="preserve">  </w:t>
      </w:r>
    </w:p>
    <w:sectPr>
      <w:pgSz w:w="16838" w:h="11906" w:orient="landscape"/>
      <w:pgMar w:top="1418" w:right="113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DC"/>
    <w:rsid w:val="00027CD3"/>
    <w:rsid w:val="00045D22"/>
    <w:rsid w:val="0004738F"/>
    <w:rsid w:val="0004747E"/>
    <w:rsid w:val="00060144"/>
    <w:rsid w:val="000A1A41"/>
    <w:rsid w:val="00153804"/>
    <w:rsid w:val="0019487B"/>
    <w:rsid w:val="0019726A"/>
    <w:rsid w:val="001A4849"/>
    <w:rsid w:val="001A48F8"/>
    <w:rsid w:val="001D1346"/>
    <w:rsid w:val="001D5277"/>
    <w:rsid w:val="0021387B"/>
    <w:rsid w:val="0026115B"/>
    <w:rsid w:val="002B5597"/>
    <w:rsid w:val="002C0850"/>
    <w:rsid w:val="002D7E06"/>
    <w:rsid w:val="00316E80"/>
    <w:rsid w:val="00331574"/>
    <w:rsid w:val="0036786D"/>
    <w:rsid w:val="003C50BE"/>
    <w:rsid w:val="003D5DBA"/>
    <w:rsid w:val="004120C0"/>
    <w:rsid w:val="0041591F"/>
    <w:rsid w:val="0042592E"/>
    <w:rsid w:val="004401F5"/>
    <w:rsid w:val="00464FCE"/>
    <w:rsid w:val="00495701"/>
    <w:rsid w:val="004A1E1B"/>
    <w:rsid w:val="00523D83"/>
    <w:rsid w:val="005C39E8"/>
    <w:rsid w:val="005E6B33"/>
    <w:rsid w:val="005F3EE9"/>
    <w:rsid w:val="00614BBD"/>
    <w:rsid w:val="006E2C73"/>
    <w:rsid w:val="006E4271"/>
    <w:rsid w:val="00714064"/>
    <w:rsid w:val="00731236"/>
    <w:rsid w:val="00735423"/>
    <w:rsid w:val="00750EF5"/>
    <w:rsid w:val="007B4D26"/>
    <w:rsid w:val="007D548E"/>
    <w:rsid w:val="00800FC0"/>
    <w:rsid w:val="00844B82"/>
    <w:rsid w:val="008E13AC"/>
    <w:rsid w:val="008F63E2"/>
    <w:rsid w:val="00910B4E"/>
    <w:rsid w:val="009231F8"/>
    <w:rsid w:val="009E386A"/>
    <w:rsid w:val="00A5213B"/>
    <w:rsid w:val="00A701EB"/>
    <w:rsid w:val="00A82877"/>
    <w:rsid w:val="00AB602A"/>
    <w:rsid w:val="00AD6B65"/>
    <w:rsid w:val="00B22076"/>
    <w:rsid w:val="00B25629"/>
    <w:rsid w:val="00B7533F"/>
    <w:rsid w:val="00C0131E"/>
    <w:rsid w:val="00C720AA"/>
    <w:rsid w:val="00CC08A9"/>
    <w:rsid w:val="00CC41A2"/>
    <w:rsid w:val="00CD7738"/>
    <w:rsid w:val="00CE502B"/>
    <w:rsid w:val="00D072DD"/>
    <w:rsid w:val="00D11211"/>
    <w:rsid w:val="00D164C2"/>
    <w:rsid w:val="00D1725D"/>
    <w:rsid w:val="00D27406"/>
    <w:rsid w:val="00D43CE6"/>
    <w:rsid w:val="00D5401F"/>
    <w:rsid w:val="00D84104"/>
    <w:rsid w:val="00DC1E16"/>
    <w:rsid w:val="00DD3493"/>
    <w:rsid w:val="00DD4D57"/>
    <w:rsid w:val="00E0261A"/>
    <w:rsid w:val="00E36E80"/>
    <w:rsid w:val="00E672C6"/>
    <w:rsid w:val="00E83CF4"/>
    <w:rsid w:val="00E94247"/>
    <w:rsid w:val="00EA1527"/>
    <w:rsid w:val="00EB77A0"/>
    <w:rsid w:val="00F066DC"/>
    <w:rsid w:val="00F434A7"/>
    <w:rsid w:val="00F92DE1"/>
    <w:rsid w:val="00FE3384"/>
    <w:rsid w:val="08D45AA8"/>
    <w:rsid w:val="2FB27AFC"/>
    <w:rsid w:val="35CA3FCC"/>
    <w:rsid w:val="36B03D6C"/>
    <w:rsid w:val="4DCA6615"/>
    <w:rsid w:val="53D067E5"/>
    <w:rsid w:val="5A9B0498"/>
    <w:rsid w:val="6F743E43"/>
    <w:rsid w:val="7F74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paragraph" w:customStyle="1" w:styleId="7">
    <w:name w:val="Char Char Char"/>
    <w:basedOn w:val="1"/>
    <w:qFormat/>
    <w:uiPriority w:val="99"/>
    <w:pPr>
      <w:widowControl/>
      <w:jc w:val="left"/>
    </w:pPr>
    <w:rPr>
      <w:kern w:val="0"/>
      <w:sz w:val="20"/>
      <w:szCs w:val="20"/>
    </w:rPr>
  </w:style>
  <w:style w:type="paragraph" w:customStyle="1" w:styleId="8">
    <w:name w:val="List Paragraph"/>
    <w:basedOn w:val="1"/>
    <w:qFormat/>
    <w:uiPriority w:val="99"/>
    <w:pPr>
      <w:widowControl/>
      <w:spacing w:after="200" w:line="252" w:lineRule="auto"/>
      <w:ind w:left="720"/>
      <w:jc w:val="left"/>
    </w:pPr>
    <w:rPr>
      <w:rFonts w:ascii="Cambria" w:hAnsi="Cambria" w:cs="Cambria"/>
      <w:kern w:val="0"/>
      <w:sz w:val="22"/>
      <w:szCs w:val="22"/>
      <w:lang w:eastAsia="en-US"/>
    </w:rPr>
  </w:style>
  <w:style w:type="character" w:customStyle="1" w:styleId="9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2017-02-09T07:54:00Z</dcterms:created>
  <dc:creator>hbt</dc:creator>
  <cp:lastModifiedBy>天天≈ฌูููููู</cp:lastModifiedBy>
  <dcterms:modified xsi:type="dcterms:W3CDTF">2019-09-12T06:48:50Z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