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480" w:lineRule="auto"/>
        <w:jc w:val="left"/>
        <w:rPr>
          <w:rFonts w:ascii="黑体" w:hAnsi="黑体" w:eastAsia="黑体"/>
          <w:spacing w:val="-18"/>
          <w:sz w:val="32"/>
          <w:szCs w:val="32"/>
        </w:rPr>
      </w:pPr>
      <w:r>
        <w:rPr>
          <w:rFonts w:hint="eastAsia" w:ascii="黑体" w:hAnsi="黑体" w:eastAsia="黑体"/>
          <w:spacing w:val="-18"/>
          <w:sz w:val="32"/>
          <w:szCs w:val="32"/>
        </w:rPr>
        <w:t>附件5</w:t>
      </w:r>
    </w:p>
    <w:p>
      <w:pPr>
        <w:spacing w:beforeLines="100" w:afterLines="100" w:line="700" w:lineRule="exact"/>
        <w:jc w:val="center"/>
        <w:rPr>
          <w:rFonts w:ascii="方正小标宋简体" w:hAnsi="黑体" w:eastAsia="方正小标宋简体"/>
          <w:b/>
          <w:sz w:val="52"/>
          <w:szCs w:val="52"/>
        </w:rPr>
      </w:pPr>
    </w:p>
    <w:p>
      <w:pPr>
        <w:spacing w:beforeLines="100" w:afterLines="100" w:line="700" w:lineRule="exact"/>
        <w:jc w:val="center"/>
        <w:rPr>
          <w:rFonts w:ascii="方正小标宋简体" w:hAnsi="黑体" w:eastAsia="方正小标宋简体"/>
          <w:b/>
          <w:sz w:val="52"/>
          <w:szCs w:val="52"/>
        </w:rPr>
      </w:pPr>
      <w:r>
        <w:rPr>
          <w:rFonts w:hint="eastAsia" w:ascii="方正小标宋简体" w:hAnsi="黑体" w:eastAsia="方正小标宋简体"/>
          <w:b/>
          <w:sz w:val="52"/>
          <w:szCs w:val="52"/>
        </w:rPr>
        <w:t>山东省国家重点监控企业</w:t>
      </w:r>
    </w:p>
    <w:p>
      <w:pPr>
        <w:spacing w:beforeLines="100" w:afterLines="100" w:line="700" w:lineRule="exact"/>
        <w:jc w:val="center"/>
        <w:rPr>
          <w:rFonts w:ascii="方正小标宋简体" w:hAnsi="黑体" w:eastAsia="方正小标宋简体"/>
          <w:b/>
          <w:sz w:val="52"/>
          <w:szCs w:val="52"/>
        </w:rPr>
      </w:pPr>
      <w:r>
        <w:rPr>
          <w:rFonts w:hint="eastAsia" w:ascii="方正小标宋简体" w:hAnsi="黑体" w:eastAsia="方正小标宋简体"/>
          <w:b/>
          <w:sz w:val="52"/>
          <w:szCs w:val="52"/>
        </w:rPr>
        <w:t>自行监测</w:t>
      </w:r>
      <w:r>
        <w:rPr>
          <w:rFonts w:hint="eastAsia" w:ascii="方正小标宋简体" w:hAnsi="黑体" w:eastAsia="方正小标宋简体"/>
          <w:b/>
          <w:kern w:val="0"/>
          <w:sz w:val="52"/>
          <w:szCs w:val="52"/>
        </w:rPr>
        <w:t>年度报告</w:t>
      </w:r>
    </w:p>
    <w:p>
      <w:pPr>
        <w:tabs>
          <w:tab w:val="left" w:pos="2760"/>
        </w:tabs>
        <w:spacing w:beforeLines="100" w:line="480" w:lineRule="auto"/>
        <w:jc w:val="center"/>
        <w:rPr>
          <w:sz w:val="36"/>
          <w:szCs w:val="36"/>
          <w:u w:val="single"/>
        </w:rPr>
      </w:pPr>
    </w:p>
    <w:p>
      <w:pPr>
        <w:tabs>
          <w:tab w:val="left" w:pos="2760"/>
        </w:tabs>
        <w:spacing w:beforeLines="100" w:line="480" w:lineRule="auto"/>
        <w:jc w:val="center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</w:t>
      </w:r>
      <w:r>
        <w:rPr>
          <w:rFonts w:hint="eastAsia"/>
          <w:sz w:val="36"/>
          <w:szCs w:val="36"/>
          <w:u w:val="single"/>
          <w:lang w:val="en-US" w:eastAsia="zh-CN"/>
        </w:rPr>
        <w:t>2017</w:t>
      </w:r>
      <w:r>
        <w:rPr>
          <w:rFonts w:hint="eastAsia"/>
          <w:sz w:val="36"/>
          <w:szCs w:val="36"/>
          <w:u w:val="single"/>
        </w:rPr>
        <w:t xml:space="preserve">  年</w:t>
      </w:r>
    </w:p>
    <w:p>
      <w:pPr>
        <w:tabs>
          <w:tab w:val="left" w:pos="2760"/>
        </w:tabs>
        <w:spacing w:line="360" w:lineRule="auto"/>
        <w:jc w:val="center"/>
        <w:rPr>
          <w:sz w:val="30"/>
          <w:szCs w:val="30"/>
        </w:rPr>
      </w:pPr>
    </w:p>
    <w:p>
      <w:pPr>
        <w:jc w:val="center"/>
        <w:rPr>
          <w:sz w:val="30"/>
          <w:szCs w:val="30"/>
        </w:rPr>
      </w:pPr>
    </w:p>
    <w:p>
      <w:pPr>
        <w:spacing w:line="800" w:lineRule="exact"/>
        <w:jc w:val="center"/>
        <w:rPr>
          <w:sz w:val="30"/>
          <w:szCs w:val="30"/>
        </w:rPr>
      </w:pPr>
    </w:p>
    <w:p>
      <w:pPr>
        <w:spacing w:line="800" w:lineRule="exact"/>
        <w:jc w:val="center"/>
        <w:rPr>
          <w:sz w:val="30"/>
          <w:szCs w:val="30"/>
        </w:rPr>
      </w:pPr>
    </w:p>
    <w:p>
      <w:pPr>
        <w:spacing w:line="800" w:lineRule="exact"/>
        <w:ind w:left="2648" w:leftChars="571" w:hanging="1449" w:hangingChars="481"/>
        <w:rPr>
          <w:bCs/>
          <w:spacing w:val="-20"/>
          <w:sz w:val="30"/>
          <w:szCs w:val="30"/>
          <w:u w:val="single"/>
        </w:rPr>
      </w:pPr>
      <w:r>
        <w:rPr>
          <w:rFonts w:hint="eastAsia"/>
          <w:b/>
          <w:sz w:val="30"/>
        </w:rPr>
        <w:t>企业</w:t>
      </w:r>
      <w:r>
        <w:rPr>
          <w:b/>
          <w:sz w:val="30"/>
        </w:rPr>
        <w:t>名称：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eastAsia="zh-CN"/>
        </w:rPr>
        <w:t>日照阳光热电有限公司</w:t>
      </w:r>
      <w:r>
        <w:rPr>
          <w:rFonts w:hint="eastAsia"/>
          <w:sz w:val="30"/>
          <w:u w:val="single"/>
        </w:rPr>
        <w:t xml:space="preserve"> </w:t>
      </w:r>
    </w:p>
    <w:p>
      <w:pPr>
        <w:spacing w:line="800" w:lineRule="exact"/>
        <w:ind w:left="2648" w:leftChars="571" w:hanging="1449" w:hangingChars="481"/>
        <w:rPr>
          <w:bCs/>
          <w:spacing w:val="-20"/>
          <w:sz w:val="30"/>
          <w:szCs w:val="30"/>
          <w:u w:val="single"/>
        </w:rPr>
      </w:pPr>
      <w:r>
        <w:rPr>
          <w:rFonts w:hint="eastAsia"/>
          <w:b/>
          <w:sz w:val="30"/>
        </w:rPr>
        <w:t>监测单位</w:t>
      </w:r>
      <w:r>
        <w:rPr>
          <w:b/>
          <w:sz w:val="30"/>
        </w:rPr>
        <w:t>：</w:t>
      </w:r>
      <w:r>
        <w:rPr>
          <w:rFonts w:hint="eastAsia"/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eastAsia="zh-CN"/>
        </w:rPr>
        <w:t>山东国评检测服务有限公司</w:t>
      </w:r>
    </w:p>
    <w:p>
      <w:pPr>
        <w:spacing w:line="800" w:lineRule="exact"/>
        <w:ind w:left="2648" w:leftChars="571" w:hanging="1449" w:hangingChars="481"/>
        <w:rPr>
          <w:bCs/>
          <w:spacing w:val="-20"/>
          <w:sz w:val="30"/>
          <w:szCs w:val="30"/>
          <w:u w:val="single"/>
        </w:rPr>
      </w:pPr>
      <w:r>
        <w:rPr>
          <w:rFonts w:hint="eastAsia"/>
          <w:b/>
          <w:sz w:val="30"/>
        </w:rPr>
        <w:t>监测时段</w:t>
      </w:r>
      <w:r>
        <w:rPr>
          <w:b/>
          <w:sz w:val="30"/>
        </w:rPr>
        <w:t>：</w:t>
      </w:r>
      <w:r>
        <w:rPr>
          <w:rFonts w:hint="eastAsia"/>
          <w:sz w:val="30"/>
          <w:u w:val="single"/>
        </w:rPr>
        <w:t xml:space="preserve">                   </w:t>
      </w:r>
    </w:p>
    <w:p>
      <w:pPr>
        <w:spacing w:line="800" w:lineRule="exact"/>
        <w:ind w:left="2648" w:leftChars="571" w:right="210" w:hanging="1449" w:hangingChars="481"/>
        <w:rPr>
          <w:sz w:val="30"/>
          <w:u w:val="single"/>
        </w:rPr>
      </w:pPr>
      <w:r>
        <w:rPr>
          <w:b/>
          <w:sz w:val="30"/>
        </w:rPr>
        <w:t>报告日期：</w:t>
      </w:r>
      <w:r>
        <w:rPr>
          <w:rFonts w:hint="eastAsia"/>
          <w:b/>
          <w:sz w:val="30"/>
          <w:u w:val="single"/>
          <w:lang w:val="en-US" w:eastAsia="zh-CN"/>
        </w:rPr>
        <w:t>2018</w:t>
      </w:r>
      <w:r>
        <w:rPr>
          <w:sz w:val="30"/>
          <w:u w:val="single"/>
        </w:rPr>
        <w:t>年</w:t>
      </w:r>
      <w:r>
        <w:rPr>
          <w:rFonts w:hint="eastAsia"/>
          <w:sz w:val="30"/>
          <w:u w:val="single"/>
        </w:rPr>
        <w:t xml:space="preserve">   </w:t>
      </w:r>
      <w:r>
        <w:rPr>
          <w:rFonts w:hint="eastAsia"/>
          <w:sz w:val="30"/>
          <w:u w:val="single"/>
          <w:lang w:val="en-US" w:eastAsia="zh-CN"/>
        </w:rPr>
        <w:t>1</w:t>
      </w:r>
      <w:r>
        <w:rPr>
          <w:rFonts w:hint="eastAsia"/>
          <w:sz w:val="30"/>
          <w:u w:val="single"/>
        </w:rPr>
        <w:t xml:space="preserve"> </w:t>
      </w:r>
      <w:r>
        <w:rPr>
          <w:sz w:val="30"/>
          <w:u w:val="single"/>
        </w:rPr>
        <w:t>月</w:t>
      </w:r>
      <w:r>
        <w:rPr>
          <w:rFonts w:hint="eastAsia"/>
          <w:sz w:val="30"/>
          <w:u w:val="single"/>
        </w:rPr>
        <w:t xml:space="preserve">   </w:t>
      </w:r>
      <w:r>
        <w:rPr>
          <w:rFonts w:hint="eastAsia"/>
          <w:sz w:val="30"/>
          <w:u w:val="single"/>
          <w:lang w:val="en-US" w:eastAsia="zh-CN"/>
        </w:rPr>
        <w:t>26</w:t>
      </w:r>
      <w:r>
        <w:rPr>
          <w:rFonts w:hint="eastAsia"/>
          <w:sz w:val="30"/>
          <w:u w:val="single"/>
        </w:rPr>
        <w:t xml:space="preserve">  </w:t>
      </w:r>
      <w:r>
        <w:rPr>
          <w:sz w:val="30"/>
          <w:u w:val="single"/>
        </w:rPr>
        <w:t>日</w:t>
      </w:r>
    </w:p>
    <w:p>
      <w:pPr>
        <w:spacing w:line="400" w:lineRule="atLeast"/>
        <w:jc w:val="center"/>
        <w:rPr>
          <w:b/>
          <w:bCs/>
          <w:sz w:val="28"/>
        </w:rPr>
      </w:pPr>
      <w:r>
        <w:rPr>
          <w:b/>
          <w:bCs/>
          <w:sz w:val="28"/>
        </w:rPr>
        <w:t>（盖章）</w:t>
      </w:r>
    </w:p>
    <w:p>
      <w:pPr>
        <w:spacing w:line="400" w:lineRule="atLeast"/>
        <w:jc w:val="center"/>
        <w:rPr>
          <w:b/>
          <w:bCs/>
          <w:sz w:val="28"/>
        </w:rPr>
      </w:pPr>
    </w:p>
    <w:p>
      <w:pPr>
        <w:spacing w:line="400" w:lineRule="atLeast"/>
        <w:jc w:val="center"/>
        <w:rPr>
          <w:rFonts w:hint="eastAsia" w:eastAsia="宋体"/>
          <w:b/>
          <w:bCs/>
          <w:sz w:val="28"/>
          <w:lang w:eastAsia="zh-CN"/>
        </w:rPr>
      </w:pPr>
    </w:p>
    <w:p>
      <w:pPr>
        <w:spacing w:line="400" w:lineRule="atLeast"/>
        <w:jc w:val="center"/>
        <w:rPr>
          <w:rFonts w:hint="eastAsia" w:eastAsia="宋体"/>
          <w:sz w:val="28"/>
          <w:lang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797" w:bottom="1440" w:left="1797" w:header="851" w:footer="992" w:gutter="0"/>
          <w:cols w:space="720" w:num="1"/>
          <w:titlePg/>
          <w:docGrid w:type="lines" w:linePitch="312" w:charSpace="0"/>
        </w:sectPr>
      </w:pPr>
    </w:p>
    <w:p>
      <w:pPr>
        <w:spacing w:line="480" w:lineRule="auto"/>
        <w:jc w:val="center"/>
        <w:outlineLvl w:val="0"/>
        <w:rPr>
          <w:rFonts w:ascii="黑体" w:hAnsi="黑体" w:eastAsia="黑体"/>
          <w:b/>
          <w:spacing w:val="50"/>
          <w:sz w:val="36"/>
          <w:szCs w:val="36"/>
        </w:rPr>
      </w:pPr>
      <w:r>
        <w:rPr>
          <w:rFonts w:hint="eastAsia" w:ascii="黑体" w:hAnsi="黑体" w:eastAsia="黑体"/>
          <w:b/>
          <w:spacing w:val="50"/>
          <w:sz w:val="36"/>
          <w:szCs w:val="36"/>
          <w:u w:val="single"/>
        </w:rPr>
        <w:t xml:space="preserve">     （企业）</w:t>
      </w:r>
      <w:r>
        <w:rPr>
          <w:rFonts w:hint="eastAsia" w:ascii="黑体" w:hAnsi="黑体" w:eastAsia="黑体"/>
          <w:b/>
          <w:spacing w:val="50"/>
          <w:sz w:val="36"/>
          <w:szCs w:val="36"/>
        </w:rPr>
        <w:t>自行监测年度报告</w:t>
      </w:r>
    </w:p>
    <w:p>
      <w:pPr>
        <w:spacing w:line="320" w:lineRule="exact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</w:p>
    <w:tbl>
      <w:tblPr>
        <w:tblStyle w:val="6"/>
        <w:tblW w:w="14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468"/>
        <w:gridCol w:w="1089"/>
        <w:gridCol w:w="875"/>
        <w:gridCol w:w="2956"/>
        <w:gridCol w:w="2834"/>
        <w:gridCol w:w="1419"/>
        <w:gridCol w:w="1133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tl2br w:val="single" w:color="auto" w:sz="4" w:space="0"/>
            </w:tcBorders>
            <w:vAlign w:val="center"/>
          </w:tcPr>
          <w:p>
            <w:pPr>
              <w:spacing w:line="320" w:lineRule="exact"/>
              <w:ind w:firstLine="735" w:firstLineChars="3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监测项目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监测内容</w:t>
            </w:r>
          </w:p>
        </w:tc>
        <w:tc>
          <w:tcPr>
            <w:tcW w:w="108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监测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点位</w:t>
            </w:r>
          </w:p>
        </w:tc>
        <w:tc>
          <w:tcPr>
            <w:tcW w:w="87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全年生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产天数</w:t>
            </w:r>
          </w:p>
        </w:tc>
        <w:tc>
          <w:tcPr>
            <w:tcW w:w="295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right="-46" w:rightChars="-22"/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应当监测天数</w:t>
            </w:r>
          </w:p>
        </w:tc>
        <w:tc>
          <w:tcPr>
            <w:tcW w:w="283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right="-46" w:rightChars="-22"/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实际监测天数</w:t>
            </w:r>
          </w:p>
        </w:tc>
        <w:tc>
          <w:tcPr>
            <w:tcW w:w="1419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320" w:lineRule="exact"/>
              <w:ind w:left="-128" w:leftChars="-61" w:right="-99" w:rightChars="-47"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实际监</w:t>
            </w:r>
          </w:p>
          <w:p>
            <w:pPr>
              <w:spacing w:line="320" w:lineRule="exact"/>
              <w:ind w:left="-128" w:leftChars="-61" w:right="-99" w:rightChars="-47" w:firstLine="105" w:firstLineChars="50"/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测次数</w:t>
            </w:r>
          </w:p>
        </w:tc>
        <w:tc>
          <w:tcPr>
            <w:tcW w:w="113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-128" w:leftChars="-61" w:right="-99" w:rightChars="-47" w:firstLine="105" w:firstLineChar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达标</w:t>
            </w:r>
          </w:p>
          <w:p>
            <w:pPr>
              <w:spacing w:line="320" w:lineRule="exact"/>
              <w:ind w:right="-46" w:rightChars="-22"/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次数</w:t>
            </w:r>
          </w:p>
        </w:tc>
        <w:tc>
          <w:tcPr>
            <w:tcW w:w="200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超标</w:t>
            </w:r>
          </w:p>
          <w:p>
            <w:pPr>
              <w:spacing w:line="320" w:lineRule="exact"/>
              <w:ind w:right="-46" w:rightChars="-22"/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restar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监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测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指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标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top w:val="single" w:color="auto" w:sz="12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NO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89" w:type="dxa"/>
            <w:tcBorders>
              <w:top w:val="single" w:color="auto" w:sz="4" w:space="0"/>
            </w:tcBorders>
            <w:vAlign w:val="center"/>
          </w:tcPr>
          <w:p>
            <w:pPr>
              <w:spacing w:beforeLines="20" w:afterLines="2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排放口</w:t>
            </w:r>
          </w:p>
        </w:tc>
        <w:tc>
          <w:tcPr>
            <w:tcW w:w="875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834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1419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在线连续</w:t>
            </w:r>
          </w:p>
        </w:tc>
        <w:tc>
          <w:tcPr>
            <w:tcW w:w="1133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/</w:t>
            </w:r>
          </w:p>
        </w:tc>
        <w:tc>
          <w:tcPr>
            <w:tcW w:w="2005" w:type="dxa"/>
            <w:tcBorders>
              <w:top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beforeLines="20" w:afterLines="2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SO</w:t>
            </w:r>
            <w:r>
              <w:rPr>
                <w:rFonts w:hint="eastAsia" w:ascii="宋体" w:hAnsi="宋体" w:eastAsia="宋体" w:cs="宋体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排放口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1419" w:type="dxa"/>
            <w:vAlign w:val="top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在线连续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/</w:t>
            </w:r>
          </w:p>
        </w:tc>
        <w:tc>
          <w:tcPr>
            <w:tcW w:w="2005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beforeLines="20" w:afterLines="2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烟尘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排放口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365</w:t>
            </w:r>
          </w:p>
        </w:tc>
        <w:tc>
          <w:tcPr>
            <w:tcW w:w="1419" w:type="dxa"/>
            <w:vAlign w:val="top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在线连续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/</w:t>
            </w:r>
          </w:p>
        </w:tc>
        <w:tc>
          <w:tcPr>
            <w:tcW w:w="2005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格林曼黑度</w:t>
            </w:r>
          </w:p>
        </w:tc>
        <w:tc>
          <w:tcPr>
            <w:tcW w:w="1089" w:type="dxa"/>
            <w:vAlign w:val="center"/>
          </w:tcPr>
          <w:p>
            <w:pPr>
              <w:spacing w:beforeLines="20" w:afterLines="2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排放口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419" w:type="dxa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1133" w:type="dxa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200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汞及其化合物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排放口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419" w:type="dxa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133" w:type="dxa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2005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beforeLines="20" w:afterLines="2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流量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废水总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排放口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419" w:type="dxa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005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beforeLines="20" w:afterLines="2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pH值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废水总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排放口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419" w:type="dxa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00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硫化物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废水总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排放口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419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005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挥发酚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废水总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排放口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419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005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氨氮（NH3-N）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废水总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排放口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419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00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溶解性总固体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废水总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排放口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419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005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氟化物（以F-计）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废水总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排放口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419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005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总磷（以P计）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废水总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排放口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419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00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化学需氧量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废水总</w:t>
            </w:r>
            <w:r>
              <w:rPr>
                <w:rFonts w:hint="eastAsia"/>
                <w:sz w:val="20"/>
                <w:szCs w:val="20"/>
                <w:lang w:eastAsia="zh-CN"/>
              </w:rPr>
              <w:t>排放口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419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005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石油类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废水总</w:t>
            </w:r>
            <w:r>
              <w:rPr>
                <w:rFonts w:hint="eastAsia"/>
                <w:sz w:val="20"/>
                <w:szCs w:val="20"/>
                <w:lang w:eastAsia="zh-CN"/>
              </w:rPr>
              <w:t>排放口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419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00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悬浮物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废水总</w:t>
            </w:r>
            <w:r>
              <w:rPr>
                <w:rFonts w:hint="eastAsia"/>
                <w:sz w:val="20"/>
                <w:szCs w:val="20"/>
                <w:lang w:eastAsia="zh-CN"/>
              </w:rPr>
              <w:t>排放口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419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005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beforeLines="20" w:afterLines="2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流量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脱硫废水排放口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419" w:type="dxa"/>
            <w:vAlign w:val="top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005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beforeLines="20" w:afterLines="2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pH值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脱硫废水排放口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419" w:type="dxa"/>
            <w:vAlign w:val="top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00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beforeLines="20" w:afterLines="2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总镉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脱硫废水排放口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419" w:type="dxa"/>
            <w:vAlign w:val="top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005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beforeLines="20" w:afterLines="2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总铅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脱硫废水排放口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419" w:type="dxa"/>
            <w:vAlign w:val="top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005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总砷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脱硫废水排放口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419" w:type="dxa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00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总汞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脱硫废水排放口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1419" w:type="dxa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005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beforeLines="20" w:afterLines="2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subscript"/>
              </w:rPr>
              <w:t>噪 声</w:t>
            </w:r>
          </w:p>
        </w:tc>
        <w:tc>
          <w:tcPr>
            <w:tcW w:w="1089" w:type="dxa"/>
            <w:vAlign w:val="center"/>
          </w:tcPr>
          <w:p>
            <w:pPr>
              <w:spacing w:beforeLines="20" w:afterLines="20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厂界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1419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2005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beforeLines="20" w:afterLines="2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粉尘</w:t>
            </w:r>
          </w:p>
        </w:tc>
        <w:tc>
          <w:tcPr>
            <w:tcW w:w="1089" w:type="dxa"/>
            <w:vAlign w:val="top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/>
                <w:sz w:val="24"/>
              </w:rPr>
              <w:t>厂界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419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200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非甲烷总烃</w:t>
            </w:r>
          </w:p>
        </w:tc>
        <w:tc>
          <w:tcPr>
            <w:tcW w:w="10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厂界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419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200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颗粒物</w:t>
            </w:r>
          </w:p>
        </w:tc>
        <w:tc>
          <w:tcPr>
            <w:tcW w:w="10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输煤转运站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419" w:type="dxa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005" w:type="dxa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颗粒物</w:t>
            </w:r>
          </w:p>
        </w:tc>
        <w:tc>
          <w:tcPr>
            <w:tcW w:w="10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制糖废黄泥库房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419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00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颗粒物</w:t>
            </w:r>
          </w:p>
        </w:tc>
        <w:tc>
          <w:tcPr>
            <w:tcW w:w="10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灰库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419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00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颗粒物</w:t>
            </w:r>
          </w:p>
        </w:tc>
        <w:tc>
          <w:tcPr>
            <w:tcW w:w="10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储煤棚</w:t>
            </w: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365</w:t>
            </w:r>
          </w:p>
        </w:tc>
        <w:tc>
          <w:tcPr>
            <w:tcW w:w="2956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834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419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1133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200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1468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。。。</w:t>
            </w:r>
          </w:p>
        </w:tc>
        <w:tc>
          <w:tcPr>
            <w:tcW w:w="108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75" w:type="dxa"/>
            <w:vAlign w:val="top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956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834" w:type="dxa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419" w:type="dxa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33" w:type="dxa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005" w:type="dxa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监测方案的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调整变化情况</w:t>
            </w:r>
          </w:p>
        </w:tc>
        <w:tc>
          <w:tcPr>
            <w:tcW w:w="1231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根据排污许可证要求于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2017年7月1日起调整执行新的企业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自行监测方案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全年废水、废气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污染物排放量</w:t>
            </w:r>
          </w:p>
        </w:tc>
        <w:tc>
          <w:tcPr>
            <w:tcW w:w="12311" w:type="dxa"/>
            <w:gridSpan w:val="7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全年废水排放量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15万8千吨，废气排放量22亿立方米，排放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二氧化硫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61.5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吨，氮氧化物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362吨，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烟尘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25.2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>吨</w:t>
            </w:r>
            <w:r>
              <w:rPr>
                <w:rFonts w:hint="eastAsia"/>
                <w:b w:val="0"/>
                <w:bCs w:val="0"/>
                <w:sz w:val="20"/>
                <w:szCs w:val="20"/>
                <w:lang w:eastAsia="zh-CN"/>
              </w:rPr>
              <w:t>至大气；</w:t>
            </w:r>
            <w:r>
              <w:rPr>
                <w:rFonts w:hint="eastAsia"/>
                <w:b w:val="0"/>
                <w:bCs w:val="0"/>
                <w:sz w:val="20"/>
                <w:szCs w:val="20"/>
                <w:lang w:val="en-US" w:eastAsia="zh-CN"/>
              </w:rPr>
              <w:t>排放化学需氧量16.6</w:t>
            </w: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lang w:val="en-US" w:eastAsia="zh-CN"/>
              </w:rPr>
              <w:t>吨，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氨氮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5.8吨至城市污水管网，最终去向日照水务集团污水处理有限公司第二污水处理厂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固体废弃物的类型、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产生数量，处置方式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数量以及去向</w:t>
            </w:r>
          </w:p>
        </w:tc>
        <w:tc>
          <w:tcPr>
            <w:tcW w:w="1231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  <w:lang w:eastAsia="zh-CN"/>
              </w:rPr>
              <w:t>一般工业固废：①锅炉粉煤灰产生量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41540吨；炉渣22900吨，处置方式及去向：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建材综合利用，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全部由日照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海伦特环保科技有限公司处置；</w:t>
            </w:r>
            <w:r>
              <w:rPr>
                <w:rFonts w:hint="eastAsia" w:ascii="宋体"/>
                <w:sz w:val="20"/>
                <w:szCs w:val="20"/>
                <w:lang w:val="en-US" w:eastAsia="zh-CN"/>
              </w:rPr>
              <w:t>处置量：共64390t/a；②脱硫石膏产生量4420t/a；处置方式及去向：综合利用，由潍坊鲁东建材有限公司处置。处置量：4420吨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按要求开展企业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周边环境质量影响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状况监测结果</w:t>
            </w:r>
          </w:p>
        </w:tc>
        <w:tc>
          <w:tcPr>
            <w:tcW w:w="1231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方案监测期内周边环境质量监测均合格</w:t>
            </w:r>
          </w:p>
        </w:tc>
      </w:tr>
    </w:tbl>
    <w:p>
      <w:pPr>
        <w:spacing w:line="320" w:lineRule="exact"/>
        <w:rPr>
          <w:b/>
          <w:sz w:val="28"/>
          <w:szCs w:val="28"/>
        </w:rPr>
      </w:pPr>
    </w:p>
    <w:p>
      <w:pPr>
        <w:spacing w:line="360" w:lineRule="auto"/>
        <w:ind w:right="480" w:firstLine="10560" w:firstLineChars="4400"/>
        <w:rPr>
          <w:sz w:val="24"/>
        </w:rPr>
      </w:pPr>
      <w:r>
        <w:rPr>
          <w:sz w:val="24"/>
        </w:rPr>
        <w:t>编制：</w:t>
      </w:r>
      <w:r>
        <w:rPr>
          <w:rFonts w:hint="eastAsia"/>
          <w:sz w:val="24"/>
          <w:u w:val="single"/>
          <w:lang w:eastAsia="zh-CN"/>
        </w:rPr>
        <w:t>张兴昌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；签发</w:t>
      </w:r>
      <w:r>
        <w:rPr>
          <w:rFonts w:hint="eastAsia"/>
          <w:sz w:val="24"/>
          <w:lang w:eastAsia="zh-CN"/>
        </w:rPr>
        <w:t>：万志国</w:t>
      </w:r>
      <w:r>
        <w:rPr>
          <w:rFonts w:hint="eastAsia"/>
          <w:sz w:val="24"/>
          <w:u w:val="single"/>
        </w:rPr>
        <w:t xml:space="preserve">      </w:t>
      </w:r>
    </w:p>
    <w:p>
      <w:pPr>
        <w:spacing w:line="360" w:lineRule="auto"/>
        <w:ind w:right="-687" w:rightChars="-327" w:firstLine="1080" w:firstLineChars="450"/>
        <w:jc w:val="center"/>
        <w:rPr>
          <w:sz w:val="24"/>
          <w:u w:val="single"/>
        </w:rPr>
      </w:pPr>
      <w:r>
        <w:rPr>
          <w:rFonts w:hint="eastAsia"/>
          <w:sz w:val="24"/>
        </w:rPr>
        <w:t xml:space="preserve">                                                                </w:t>
      </w:r>
      <w:r>
        <w:rPr>
          <w:sz w:val="24"/>
        </w:rPr>
        <w:t>日期：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2018.1.26</w:t>
      </w:r>
      <w:bookmarkStart w:id="0" w:name="_GoBack"/>
      <w:bookmarkEnd w:id="0"/>
      <w:r>
        <w:rPr>
          <w:rFonts w:hint="eastAsia"/>
          <w:sz w:val="24"/>
          <w:u w:val="single"/>
        </w:rPr>
        <w:t xml:space="preserve">   </w:t>
      </w:r>
    </w:p>
    <w:sectPr>
      <w:pgSz w:w="16838" w:h="11906" w:orient="landscape"/>
      <w:pgMar w:top="1418" w:right="113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Calibri Light">
    <w:altName w:val="MV Bol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MFENB N+ Times New Roman PSMT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entury">
    <w:altName w:val="Bookman Old Style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”“Times New Roman”“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V Boli">
    <w:panose1 w:val="02000500030200090000"/>
    <w:charset w:val="00"/>
    <w:family w:val="auto"/>
    <w:pitch w:val="default"/>
    <w:sig w:usb0="00000000" w:usb1="00000000" w:usb2="00000100" w:usb3="00000000" w:csb0="00000000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仿宋 Std R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altName w:val="黑体"/>
    <w:panose1 w:val="020B0703020204020201"/>
    <w:charset w:val="86"/>
    <w:family w:val="auto"/>
    <w:pitch w:val="default"/>
    <w:sig w:usb0="00000000" w:usb1="00000000" w:usb2="00000016" w:usb3="00000000" w:csb0="0004001F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汉仪仿宋简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汉仪大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方正黑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6DC"/>
    <w:rsid w:val="00045D22"/>
    <w:rsid w:val="0004738F"/>
    <w:rsid w:val="0004747E"/>
    <w:rsid w:val="00060144"/>
    <w:rsid w:val="0019726A"/>
    <w:rsid w:val="001A4849"/>
    <w:rsid w:val="001D1346"/>
    <w:rsid w:val="001D5277"/>
    <w:rsid w:val="0026115B"/>
    <w:rsid w:val="002B5597"/>
    <w:rsid w:val="002C0850"/>
    <w:rsid w:val="002D7E06"/>
    <w:rsid w:val="00316E80"/>
    <w:rsid w:val="0036786D"/>
    <w:rsid w:val="003D5DBA"/>
    <w:rsid w:val="0041591F"/>
    <w:rsid w:val="00464FCE"/>
    <w:rsid w:val="004A1E1B"/>
    <w:rsid w:val="00525B21"/>
    <w:rsid w:val="005C39E8"/>
    <w:rsid w:val="005E6B33"/>
    <w:rsid w:val="005F3EE9"/>
    <w:rsid w:val="00614BBD"/>
    <w:rsid w:val="006E2C73"/>
    <w:rsid w:val="006E4271"/>
    <w:rsid w:val="00714064"/>
    <w:rsid w:val="00731236"/>
    <w:rsid w:val="00750EF5"/>
    <w:rsid w:val="007D548E"/>
    <w:rsid w:val="00800FC0"/>
    <w:rsid w:val="00844B82"/>
    <w:rsid w:val="008E13AC"/>
    <w:rsid w:val="009E386A"/>
    <w:rsid w:val="00A5213B"/>
    <w:rsid w:val="00AB602A"/>
    <w:rsid w:val="00B7533F"/>
    <w:rsid w:val="00CD7738"/>
    <w:rsid w:val="00CE502B"/>
    <w:rsid w:val="00D072DD"/>
    <w:rsid w:val="00D11211"/>
    <w:rsid w:val="00D164C2"/>
    <w:rsid w:val="00D27406"/>
    <w:rsid w:val="00D43CE6"/>
    <w:rsid w:val="00DD3493"/>
    <w:rsid w:val="00E36E80"/>
    <w:rsid w:val="00E672C6"/>
    <w:rsid w:val="00E83CF4"/>
    <w:rsid w:val="00E94247"/>
    <w:rsid w:val="00EA1527"/>
    <w:rsid w:val="00EB77A0"/>
    <w:rsid w:val="00F066DC"/>
    <w:rsid w:val="00FE3384"/>
    <w:rsid w:val="03CB1BBE"/>
    <w:rsid w:val="07393CF1"/>
    <w:rsid w:val="0BC31A67"/>
    <w:rsid w:val="10B60B80"/>
    <w:rsid w:val="1B245E75"/>
    <w:rsid w:val="1B4B30A2"/>
    <w:rsid w:val="20A81F74"/>
    <w:rsid w:val="2E270312"/>
    <w:rsid w:val="35EB59CE"/>
    <w:rsid w:val="39DD0116"/>
    <w:rsid w:val="41F54917"/>
    <w:rsid w:val="43132D2B"/>
    <w:rsid w:val="43283AC8"/>
    <w:rsid w:val="436C6764"/>
    <w:rsid w:val="45AB4B68"/>
    <w:rsid w:val="467A77FE"/>
    <w:rsid w:val="4D6F5E4F"/>
    <w:rsid w:val="57312E2C"/>
    <w:rsid w:val="5B735314"/>
    <w:rsid w:val="623678C2"/>
    <w:rsid w:val="69390E4B"/>
    <w:rsid w:val="6D0C7DD5"/>
    <w:rsid w:val="70641440"/>
    <w:rsid w:val="7232278C"/>
    <w:rsid w:val="72A906E6"/>
    <w:rsid w:val="73131F94"/>
    <w:rsid w:val="7AD0193A"/>
    <w:rsid w:val="7D1478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7">
    <w:name w:val="Char Char Char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8">
    <w:name w:val="List Paragraph"/>
    <w:basedOn w:val="1"/>
    <w:qFormat/>
    <w:uiPriority w:val="0"/>
    <w:pPr>
      <w:widowControl/>
      <w:spacing w:after="200" w:line="252" w:lineRule="auto"/>
      <w:ind w:left="720"/>
      <w:contextualSpacing/>
      <w:jc w:val="left"/>
    </w:pPr>
    <w:rPr>
      <w:rFonts w:ascii="Cambria" w:hAnsi="Cambria"/>
      <w:kern w:val="0"/>
      <w:sz w:val="22"/>
      <w:szCs w:val="22"/>
      <w:lang w:eastAsia="en-US" w:bidi="en-US"/>
    </w:rPr>
  </w:style>
  <w:style w:type="character" w:customStyle="1" w:styleId="9">
    <w:name w:val="页眉 Char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3BBD49-C5CB-481A-9EE6-3EA59B8F7F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74</Words>
  <Characters>426</Characters>
  <Lines>3</Lines>
  <Paragraphs>1</Paragraphs>
  <ScaleCrop>false</ScaleCrop>
  <LinksUpToDate>false</LinksUpToDate>
  <CharactersWithSpaces>499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2013-12-02T12:49:00Z</dcterms:created>
  <dc:creator>hbt</dc:creator>
  <cp:lastModifiedBy>走向迷途</cp:lastModifiedBy>
  <cp:lastPrinted>2018-01-30T00:48:51Z</cp:lastPrinted>
  <dcterms:modified xsi:type="dcterms:W3CDTF">2018-01-30T00:49:56Z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